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EA3" w:rsidRPr="00507934" w:rsidRDefault="004D341B" w:rsidP="004D341B">
      <w:pPr>
        <w:jc w:val="center"/>
        <w:rPr>
          <w:rFonts w:cs="B Titr"/>
          <w:b/>
          <w:bCs/>
          <w:sz w:val="16"/>
          <w:szCs w:val="16"/>
          <w:rtl/>
          <w:lang w:bidi="fa-IR"/>
        </w:rPr>
      </w:pPr>
      <w:r w:rsidRPr="005942F7">
        <w:rPr>
          <w:rFonts w:cs="B Titr" w:hint="cs"/>
          <w:b/>
          <w:bCs/>
          <w:szCs w:val="22"/>
          <w:rtl/>
          <w:lang w:bidi="fa-IR"/>
        </w:rPr>
        <w:t>مروری بر روش</w:t>
      </w:r>
      <w:r w:rsidRPr="005942F7">
        <w:rPr>
          <w:rFonts w:cs="B Titr"/>
          <w:b/>
          <w:bCs/>
          <w:szCs w:val="22"/>
          <w:rtl/>
          <w:lang w:bidi="fa-IR"/>
        </w:rPr>
        <w:softHyphen/>
      </w:r>
      <w:r w:rsidRPr="005942F7">
        <w:rPr>
          <w:rFonts w:cs="B Titr" w:hint="cs"/>
          <w:b/>
          <w:bCs/>
          <w:szCs w:val="22"/>
          <w:rtl/>
          <w:lang w:bidi="fa-IR"/>
        </w:rPr>
        <w:t xml:space="preserve">های توانمندسازی مادران به منظور بهبود </w:t>
      </w:r>
      <w:r>
        <w:rPr>
          <w:rFonts w:cs="B Titr" w:hint="cs"/>
          <w:b/>
          <w:bCs/>
          <w:szCs w:val="22"/>
          <w:rtl/>
          <w:lang w:bidi="fa-IR"/>
        </w:rPr>
        <w:t>تعامل</w:t>
      </w:r>
      <w:r w:rsidRPr="005942F7">
        <w:rPr>
          <w:rFonts w:cs="B Titr" w:hint="cs"/>
          <w:b/>
          <w:bCs/>
          <w:szCs w:val="22"/>
          <w:rtl/>
          <w:lang w:bidi="fa-IR"/>
        </w:rPr>
        <w:t xml:space="preserve"> مادر-کودک و فرزندپروری مثبت در خانواده</w:t>
      </w:r>
    </w:p>
    <w:p w:rsidR="00015EA3" w:rsidRPr="00507934" w:rsidRDefault="00015EA3" w:rsidP="00015EA3">
      <w:pPr>
        <w:pStyle w:val="Authors"/>
        <w:spacing w:line="240" w:lineRule="auto"/>
        <w:rPr>
          <w:sz w:val="14"/>
          <w:szCs w:val="14"/>
          <w:rtl/>
        </w:rPr>
      </w:pPr>
    </w:p>
    <w:p w:rsidR="004D341B" w:rsidRPr="004D341B" w:rsidRDefault="00015EA3" w:rsidP="004D341B">
      <w:pPr>
        <w:jc w:val="center"/>
        <w:rPr>
          <w:b/>
          <w:bCs/>
          <w:szCs w:val="24"/>
          <w:rtl/>
          <w:lang w:bidi="fa-IR"/>
        </w:rPr>
      </w:pPr>
      <w:r w:rsidRPr="00015EA3">
        <w:rPr>
          <w:rFonts w:hint="cs"/>
          <w:b/>
          <w:bCs/>
          <w:szCs w:val="22"/>
          <w:rtl/>
        </w:rPr>
        <w:t>حجت پیر</w:t>
      </w:r>
      <w:bookmarkStart w:id="0" w:name="_GoBack"/>
      <w:bookmarkEnd w:id="0"/>
      <w:r w:rsidRPr="00015EA3">
        <w:rPr>
          <w:rFonts w:hint="cs"/>
          <w:b/>
          <w:bCs/>
          <w:szCs w:val="22"/>
          <w:rtl/>
        </w:rPr>
        <w:t>زادی</w:t>
      </w:r>
      <w:r w:rsidRPr="00015EA3">
        <w:rPr>
          <w:rStyle w:val="FootnoteReference"/>
          <w:b/>
          <w:bCs/>
          <w:szCs w:val="22"/>
          <w:rtl/>
        </w:rPr>
        <w:footnoteReference w:id="1"/>
      </w:r>
      <w:r w:rsidRPr="00015EA3">
        <w:rPr>
          <w:rFonts w:hint="cs"/>
          <w:b/>
          <w:bCs/>
          <w:szCs w:val="22"/>
          <w:rtl/>
          <w:lang w:bidi="fa-IR"/>
        </w:rPr>
        <w:t>، سوسن جباری</w:t>
      </w:r>
      <w:r w:rsidRPr="00015EA3">
        <w:rPr>
          <w:rStyle w:val="FootnoteReference"/>
          <w:b/>
          <w:bCs/>
          <w:szCs w:val="22"/>
          <w:rtl/>
          <w:lang w:bidi="fa-IR"/>
        </w:rPr>
        <w:footnoteReference w:id="2"/>
      </w:r>
    </w:p>
    <w:p w:rsidR="004D341B" w:rsidRPr="004D341B" w:rsidRDefault="004D341B" w:rsidP="004D341B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b/>
          <w:bCs/>
          <w:sz w:val="24"/>
          <w:szCs w:val="24"/>
          <w:rtl/>
        </w:rPr>
      </w:pPr>
      <w:r w:rsidRPr="004D341B">
        <w:rPr>
          <w:rFonts w:hint="cs"/>
          <w:b/>
          <w:bCs/>
          <w:sz w:val="24"/>
          <w:szCs w:val="24"/>
          <w:rtl/>
        </w:rPr>
        <w:t>چكيده</w:t>
      </w:r>
    </w:p>
    <w:p w:rsidR="004D341B" w:rsidRPr="004D341B" w:rsidRDefault="004D341B" w:rsidP="004D341B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szCs w:val="22"/>
          <w:rtl/>
        </w:rPr>
      </w:pPr>
      <w:r w:rsidRPr="004D341B">
        <w:rPr>
          <w:rFonts w:hint="cs"/>
          <w:szCs w:val="22"/>
          <w:rtl/>
        </w:rPr>
        <w:t>تعامل مادر-کودک و کیفیت فرزندپروری مادران پیامدهای تحولی بسیار مهمی را در رشد روانشناختی کودکان به دنبال خواهد داشت. بر اساس نظریه یادگیری اجتماعی تعاملات ناسازگارانه والدین-کودک در بروز و تداوم رفتارهای ناسازگارانه کودکان تاثیرگذار است. بنابراین، فرض بر این است که با تغییر شیوه رفتار والدین می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توان به بهبود رفتار کودکان و سازگاری آنها کمک کرد. هدف پژوهش حاضر بررسی روش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 توانمندسازی مادران به منظور بهبود تعامل مادر-کودک و فرزندپروری مثبت در خانواده بود. بر این اساس با استفاده از روش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شناسی مرور سیستماتیک با کلیدواژه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</w:t>
      </w:r>
      <w:r w:rsidRPr="004D341B">
        <w:rPr>
          <w:szCs w:val="22"/>
        </w:rPr>
        <w:t xml:space="preserve">Mother empowerment, Positive parenting, Mother-child interaction  </w:t>
      </w:r>
      <w:r w:rsidRPr="004D341B">
        <w:rPr>
          <w:rFonts w:hint="cs"/>
          <w:szCs w:val="22"/>
          <w:rtl/>
        </w:rPr>
        <w:t xml:space="preserve"> در پایگاه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 اطلاعاتیِ</w:t>
      </w:r>
      <w:r w:rsidRPr="004D341B">
        <w:rPr>
          <w:szCs w:val="22"/>
        </w:rPr>
        <w:t>Science Direct PubMed, Elsevier</w:t>
      </w:r>
      <w:r w:rsidRPr="004D341B">
        <w:rPr>
          <w:rFonts w:hint="cs"/>
          <w:szCs w:val="22"/>
          <w:rtl/>
        </w:rPr>
        <w:t xml:space="preserve"> و </w:t>
      </w:r>
      <w:r w:rsidRPr="004D341B">
        <w:rPr>
          <w:szCs w:val="22"/>
        </w:rPr>
        <w:t>Google scholar</w:t>
      </w:r>
      <w:r w:rsidRPr="004D341B">
        <w:rPr>
          <w:rFonts w:hint="cs"/>
          <w:szCs w:val="22"/>
          <w:rtl/>
        </w:rPr>
        <w:t xml:space="preserve"> جستجو انجام شد و منابع و متون مرتبط استخراج و تحلیل گردید. نتایج نشان داد که توانمندسازی مادران عموما بر محورهای آموزش روانی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-اجتماعی، کاهش مشکلات روانشناختی و کاهش استرس فرزندپروری متمرکز است. بر این اساس می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توان نتیجه گرفت که خطوط اصلی توانمندسازی مادران بر ارتقاء سلامت روانشناختی و ایجاد فرصت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 یادگیریِ مهارت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 فرزندپروی برای آنان متمرکز است که از این طریق می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توان به بهبود رابطه مادر-کودک، تقویت فرزندپروری مثبت در مادران و ارتقاء محیط رشدی کودکان در خانواده کمک کرد. با توجه به تاکید پیشینه تجربی بر نقش و اهمیت سلامت روانی و مهارت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های فرزندپروری مادران در بهبود تعاملات مادر-کودک و سازگاری آنان، پیشنهاد می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>شود از این جنبه کاربردی و اثربخش در فعالیت</w:t>
      </w:r>
      <w:r w:rsidRPr="004D341B">
        <w:rPr>
          <w:szCs w:val="22"/>
          <w:rtl/>
        </w:rPr>
        <w:softHyphen/>
      </w:r>
      <w:r w:rsidRPr="004D341B">
        <w:rPr>
          <w:rFonts w:hint="cs"/>
          <w:szCs w:val="22"/>
          <w:rtl/>
        </w:rPr>
        <w:t xml:space="preserve">های بالینی کودک استفاده شود.  </w:t>
      </w:r>
    </w:p>
    <w:p w:rsidR="004D341B" w:rsidRPr="004D341B" w:rsidRDefault="004D341B" w:rsidP="004D341B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szCs w:val="22"/>
          <w:rtl/>
        </w:rPr>
      </w:pPr>
      <w:r>
        <w:rPr>
          <w:rFonts w:hint="cs"/>
          <w:szCs w:val="22"/>
          <w:rtl/>
        </w:rPr>
        <w:t>کلمات</w:t>
      </w:r>
      <w:r w:rsidRPr="004D341B">
        <w:rPr>
          <w:rFonts w:hint="cs"/>
          <w:szCs w:val="22"/>
          <w:rtl/>
        </w:rPr>
        <w:t xml:space="preserve"> کلیدی: توانمندسازی مادران، تعامل مادر-کودک، فرزندپروری مثبت، خانواده</w:t>
      </w:r>
    </w:p>
    <w:p w:rsidR="00015EA3" w:rsidRDefault="00015EA3" w:rsidP="00526D13">
      <w:pPr>
        <w:spacing w:line="240" w:lineRule="auto"/>
        <w:jc w:val="center"/>
        <w:rPr>
          <w:b/>
          <w:bCs/>
          <w:sz w:val="32"/>
          <w:szCs w:val="32"/>
        </w:rPr>
      </w:pPr>
    </w:p>
    <w:p w:rsidR="007D7C6F" w:rsidRPr="007D7C6F" w:rsidRDefault="007D7C6F" w:rsidP="00015EA3">
      <w:pPr>
        <w:pStyle w:val="Authors"/>
        <w:spacing w:line="240" w:lineRule="auto"/>
        <w:jc w:val="left"/>
        <w:rPr>
          <w:b/>
          <w:bCs/>
          <w:sz w:val="26"/>
          <w:szCs w:val="26"/>
          <w:rtl/>
        </w:rPr>
      </w:pPr>
    </w:p>
    <w:p w:rsidR="007D7C6F" w:rsidRDefault="007D7C6F" w:rsidP="00526D13">
      <w:pPr>
        <w:pStyle w:val="Authors"/>
        <w:spacing w:line="240" w:lineRule="auto"/>
        <w:rPr>
          <w:b/>
          <w:bCs/>
          <w:sz w:val="24"/>
          <w:rtl/>
        </w:rPr>
      </w:pPr>
    </w:p>
    <w:p w:rsidR="008A3853" w:rsidRPr="009F2391" w:rsidRDefault="008A3853" w:rsidP="00526D13">
      <w:pPr>
        <w:pStyle w:val="Authors"/>
        <w:spacing w:line="240" w:lineRule="auto"/>
        <w:jc w:val="both"/>
        <w:rPr>
          <w:b/>
          <w:bCs/>
          <w:sz w:val="24"/>
        </w:rPr>
      </w:pPr>
    </w:p>
    <w:p w:rsidR="0096007F" w:rsidRPr="00FC02E7" w:rsidRDefault="0096007F" w:rsidP="00526D13">
      <w:pPr>
        <w:spacing w:line="240" w:lineRule="auto"/>
        <w:jc w:val="right"/>
        <w:rPr>
          <w:b/>
          <w:bCs/>
          <w:sz w:val="28"/>
          <w:szCs w:val="28"/>
          <w:highlight w:val="yellow"/>
          <w:lang w:bidi="fa-IR"/>
        </w:rPr>
      </w:pPr>
      <w:bookmarkStart w:id="1" w:name="_Ref90008432"/>
    </w:p>
    <w:bookmarkEnd w:id="1"/>
    <w:p w:rsidR="00F936FE" w:rsidRPr="00015EA3" w:rsidRDefault="00F936FE" w:rsidP="00015EA3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b/>
          <w:bCs/>
          <w:sz w:val="28"/>
          <w:szCs w:val="28"/>
          <w:rtl/>
          <w:lang w:bidi="fa-IR"/>
        </w:rPr>
      </w:pPr>
    </w:p>
    <w:sectPr w:rsidR="00F936FE" w:rsidRPr="00015EA3" w:rsidSect="007F49FE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F7D" w:rsidRDefault="00F04F7D">
      <w:r>
        <w:separator/>
      </w:r>
    </w:p>
  </w:endnote>
  <w:endnote w:type="continuationSeparator" w:id="0">
    <w:p w:rsidR="00F04F7D" w:rsidRDefault="00F0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50305040509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F7D" w:rsidRDefault="00F04F7D">
      <w:r>
        <w:separator/>
      </w:r>
    </w:p>
  </w:footnote>
  <w:footnote w:type="continuationSeparator" w:id="0">
    <w:p w:rsidR="00F04F7D" w:rsidRDefault="00F04F7D">
      <w:r>
        <w:continuationSeparator/>
      </w:r>
    </w:p>
  </w:footnote>
  <w:footnote w:id="1">
    <w:p w:rsidR="00015EA3" w:rsidRPr="00F41982" w:rsidRDefault="00015EA3" w:rsidP="00015EA3">
      <w:pPr>
        <w:spacing w:line="240" w:lineRule="auto"/>
        <w:jc w:val="left"/>
        <w:rPr>
          <w:sz w:val="16"/>
          <w:szCs w:val="20"/>
        </w:rPr>
      </w:pPr>
      <w:r w:rsidRPr="00F41982">
        <w:rPr>
          <w:sz w:val="18"/>
          <w:szCs w:val="22"/>
        </w:rPr>
        <w:footnoteRef/>
      </w:r>
      <w:r w:rsidRPr="00F41982">
        <w:rPr>
          <w:sz w:val="12"/>
          <w:szCs w:val="16"/>
          <w:rtl/>
        </w:rPr>
        <w:t xml:space="preserve"> </w:t>
      </w:r>
      <w:r w:rsidRPr="00015EA3">
        <w:rPr>
          <w:rFonts w:hint="cs"/>
          <w:sz w:val="16"/>
          <w:szCs w:val="20"/>
          <w:rtl/>
        </w:rPr>
        <w:t>. دانشجوی دکتری، دانشگاه علامه طباطبایی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گروه روانشناسی و آموزش کودکان استثنایی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تهران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 xml:space="preserve">ایران. </w:t>
      </w:r>
      <w:r w:rsidRPr="00015EA3">
        <w:rPr>
          <w:sz w:val="16"/>
          <w:szCs w:val="20"/>
        </w:rPr>
        <w:t>H.pirzadi@ut.ac.ir</w:t>
      </w:r>
    </w:p>
  </w:footnote>
  <w:footnote w:id="2">
    <w:p w:rsidR="00015EA3" w:rsidRDefault="00015EA3" w:rsidP="00F41982">
      <w:pPr>
        <w:spacing w:line="240" w:lineRule="auto"/>
        <w:jc w:val="left"/>
        <w:rPr>
          <w:rtl/>
          <w:lang w:bidi="fa-IR"/>
        </w:rPr>
      </w:pPr>
      <w:r w:rsidRPr="00F41982">
        <w:rPr>
          <w:sz w:val="16"/>
          <w:szCs w:val="20"/>
        </w:rPr>
        <w:footnoteRef/>
      </w:r>
      <w:r w:rsidRPr="00F41982">
        <w:rPr>
          <w:sz w:val="16"/>
          <w:szCs w:val="20"/>
          <w:rtl/>
        </w:rPr>
        <w:t xml:space="preserve"> </w:t>
      </w:r>
      <w:r w:rsidRPr="00F41982">
        <w:rPr>
          <w:rFonts w:hint="cs"/>
          <w:sz w:val="16"/>
          <w:szCs w:val="20"/>
          <w:rtl/>
        </w:rPr>
        <w:t xml:space="preserve">. دکترا، </w:t>
      </w:r>
      <w:r w:rsidRPr="00015EA3">
        <w:rPr>
          <w:rFonts w:hint="cs"/>
          <w:sz w:val="16"/>
          <w:szCs w:val="20"/>
          <w:rtl/>
        </w:rPr>
        <w:t>دانشگاه شیراز، گروه کودکان استثنایی، شیراز، ایران.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58D98D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60BC9B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5EA3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0AF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6ED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9F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341B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421A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D7C6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41D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37383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2E3D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4F7D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1982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B7DAE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D727993-E2BA-439A-BC60-D8D727E4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link w:val="FootnoteTextChar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4D341B"/>
    <w:rPr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8797-C230-41AB-8A32-AA6399A1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MRT www.Win2Farsi.com</cp:lastModifiedBy>
  <cp:revision>10</cp:revision>
  <cp:lastPrinted>2016-01-11T08:57:00Z</cp:lastPrinted>
  <dcterms:created xsi:type="dcterms:W3CDTF">2016-07-11T08:32:00Z</dcterms:created>
  <dcterms:modified xsi:type="dcterms:W3CDTF">2016-07-20T07:23:00Z</dcterms:modified>
</cp:coreProperties>
</file>